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EDF3" w14:textId="77777777" w:rsidR="00193849" w:rsidRDefault="00193849" w:rsidP="009D1B93">
      <w:pPr>
        <w:rPr>
          <w:noProof/>
        </w:rPr>
      </w:pPr>
    </w:p>
    <w:p w14:paraId="1AFE5B65" w14:textId="77777777" w:rsidR="00193849" w:rsidRDefault="00193849" w:rsidP="009D1B93"/>
    <w:p w14:paraId="2B04FC8C" w14:textId="77777777" w:rsidR="00193849" w:rsidRDefault="00193849" w:rsidP="009D1B93"/>
    <w:p w14:paraId="01F9A7DF" w14:textId="4EF4A90B" w:rsidR="00193849" w:rsidRDefault="00193849" w:rsidP="00366762"/>
    <w:p w14:paraId="1B05F46C" w14:textId="7A9DA87C" w:rsidR="00497C81" w:rsidRDefault="00E719DC" w:rsidP="00362F62">
      <w:pPr>
        <w:spacing w:before="0"/>
      </w:pPr>
      <w:r>
        <w:t>Paul Maynard</w:t>
      </w:r>
      <w:r w:rsidR="004E7C2A">
        <w:t xml:space="preserve"> MP</w:t>
      </w:r>
    </w:p>
    <w:p w14:paraId="0781C8EF" w14:textId="647FA7F1" w:rsidR="00362F62" w:rsidRDefault="001E58F2" w:rsidP="00362F62">
      <w:pPr>
        <w:spacing w:before="0"/>
      </w:pPr>
      <w:r>
        <w:t>Minister for Pensions</w:t>
      </w:r>
    </w:p>
    <w:p w14:paraId="606CE51F" w14:textId="061D0562" w:rsidR="004E7C2A" w:rsidRDefault="001E58F2" w:rsidP="00362F62">
      <w:pPr>
        <w:spacing w:before="0"/>
      </w:pPr>
      <w:r>
        <w:t>Caxton House</w:t>
      </w:r>
    </w:p>
    <w:p w14:paraId="7BFD549A" w14:textId="3136D52B" w:rsidR="001E58F2" w:rsidRDefault="001E58F2" w:rsidP="00362F62">
      <w:pPr>
        <w:spacing w:before="0"/>
      </w:pPr>
      <w:r>
        <w:t>Tothill Street</w:t>
      </w:r>
    </w:p>
    <w:p w14:paraId="3B6A0972" w14:textId="16565FBE" w:rsidR="004E7C2A" w:rsidRDefault="004E7C2A" w:rsidP="00362F62">
      <w:pPr>
        <w:spacing w:before="0"/>
      </w:pPr>
      <w:r>
        <w:t>London</w:t>
      </w:r>
    </w:p>
    <w:p w14:paraId="385F2EF8" w14:textId="713AF01D" w:rsidR="00DE7779" w:rsidRDefault="004E7C2A" w:rsidP="00362F62">
      <w:pPr>
        <w:spacing w:before="0"/>
      </w:pPr>
      <w:r>
        <w:t>SW1</w:t>
      </w:r>
      <w:r w:rsidR="001E58F2">
        <w:t>H</w:t>
      </w:r>
      <w:r w:rsidR="00DE7779">
        <w:t xml:space="preserve"> </w:t>
      </w:r>
      <w:r w:rsidR="001E58F2">
        <w:t>9NA</w:t>
      </w:r>
    </w:p>
    <w:p w14:paraId="0F3418E2" w14:textId="6C27214A" w:rsidR="00DE7779" w:rsidRDefault="00DE7779" w:rsidP="00362F62">
      <w:pPr>
        <w:spacing w:before="0"/>
      </w:pPr>
      <w:r>
        <w:t>(via email)</w:t>
      </w:r>
    </w:p>
    <w:p w14:paraId="30B155C5" w14:textId="1E3428BB" w:rsidR="00DE7779" w:rsidRDefault="00DE7779" w:rsidP="00362F62">
      <w:pPr>
        <w:spacing w:before="0"/>
      </w:pPr>
    </w:p>
    <w:p w14:paraId="520B5052" w14:textId="063CE852" w:rsidR="00DE7779" w:rsidRDefault="00DE7779" w:rsidP="00362F62">
      <w:pPr>
        <w:spacing w:before="0"/>
      </w:pPr>
      <w:r>
        <w:t xml:space="preserve">xx </w:t>
      </w:r>
      <w:r w:rsidR="00E719DC">
        <w:t>February</w:t>
      </w:r>
      <w:r>
        <w:t xml:space="preserve"> 202</w:t>
      </w:r>
      <w:r w:rsidR="00E719DC">
        <w:t>4</w:t>
      </w:r>
    </w:p>
    <w:p w14:paraId="2308BD8F" w14:textId="77777777" w:rsidR="00DE7779" w:rsidRDefault="00DE7779" w:rsidP="00362F62">
      <w:pPr>
        <w:spacing w:before="0"/>
      </w:pPr>
    </w:p>
    <w:p w14:paraId="61A9D16E" w14:textId="394A2B4F" w:rsidR="00193849" w:rsidRDefault="00193849" w:rsidP="00366762">
      <w:r>
        <w:t xml:space="preserve">Dear </w:t>
      </w:r>
      <w:r w:rsidR="00E719DC">
        <w:t>Paul</w:t>
      </w:r>
      <w:r w:rsidR="00DE7779">
        <w:t>,</w:t>
      </w:r>
    </w:p>
    <w:p w14:paraId="4AD44460" w14:textId="2ED34770" w:rsidR="00193849" w:rsidRPr="00DE7779" w:rsidRDefault="007F2A5A" w:rsidP="00DE7779">
      <w:pPr>
        <w:rPr>
          <w:b/>
          <w:bCs/>
        </w:rPr>
      </w:pPr>
      <w:r>
        <w:rPr>
          <w:b/>
          <w:bCs/>
        </w:rPr>
        <w:t>Follow-up re e</w:t>
      </w:r>
      <w:r w:rsidR="00E719DC">
        <w:rPr>
          <w:b/>
          <w:bCs/>
        </w:rPr>
        <w:t>vidence to select committee re AEAT Pension Scheme</w:t>
      </w:r>
      <w:r w:rsidR="00A0572A">
        <w:rPr>
          <w:b/>
          <w:bCs/>
        </w:rPr>
        <w:t xml:space="preserve"> and PPF </w:t>
      </w:r>
      <w:proofErr w:type="gramStart"/>
      <w:r w:rsidR="00A0572A">
        <w:rPr>
          <w:b/>
          <w:bCs/>
        </w:rPr>
        <w:t>compensation</w:t>
      </w:r>
      <w:proofErr w:type="gramEnd"/>
    </w:p>
    <w:p w14:paraId="66883196" w14:textId="77777777" w:rsidR="00D83F3D" w:rsidRDefault="000717AC" w:rsidP="002F3876">
      <w:r>
        <w:t xml:space="preserve">I </w:t>
      </w:r>
      <w:r w:rsidR="002F3876">
        <w:t>am writing to follow up on two issues that you said you were looking into in your recent oral evidence to the Work and Pensions Committee.</w:t>
      </w:r>
    </w:p>
    <w:p w14:paraId="738A86BA" w14:textId="20DCD7FB" w:rsidR="002F3876" w:rsidRDefault="00D83F3D" w:rsidP="002F3876">
      <w:r>
        <w:t xml:space="preserve">You referred to </w:t>
      </w:r>
      <w:r w:rsidR="00676C94">
        <w:t>discussions between DWP and Cabinet Office officials about providing an adequate means of redress for the members of the AEA Technology Pension Scheme.</w:t>
      </w:r>
      <w:r w:rsidR="002F3876">
        <w:t xml:space="preserve"> </w:t>
      </w:r>
    </w:p>
    <w:p w14:paraId="78D0E80C" w14:textId="2259B07B" w:rsidR="00D83F3D" w:rsidRDefault="00D83F3D" w:rsidP="004E7C2A">
      <w:r>
        <w:t xml:space="preserve">You also told the committee that you commissioned </w:t>
      </w:r>
      <w:r w:rsidR="007F600A">
        <w:t>a</w:t>
      </w:r>
      <w:r>
        <w:t>n extensive piece of work on indexing PPF compensation in respect of pension accrued before April 1997.</w:t>
      </w:r>
    </w:p>
    <w:p w14:paraId="3F443ACF" w14:textId="77777777" w:rsidR="00676C94" w:rsidRDefault="00676C94" w:rsidP="004E7C2A">
      <w:r>
        <w:t>Many Prospect members are affected by these issues and are appreciative of the attention you are giving to them.</w:t>
      </w:r>
    </w:p>
    <w:p w14:paraId="58E28FCB" w14:textId="1E50B262" w:rsidR="00DD26AB" w:rsidRDefault="00676C94" w:rsidP="004E7C2A">
      <w:r>
        <w:t xml:space="preserve">I am writing to make </w:t>
      </w:r>
      <w:proofErr w:type="gramStart"/>
      <w:r>
        <w:t>a number of</w:t>
      </w:r>
      <w:proofErr w:type="gramEnd"/>
      <w:r>
        <w:t xml:space="preserve"> points about our members’ perspective on these issues, that I hope you can take into consideration when deciding on next steps.  </w:t>
      </w:r>
      <w:r w:rsidR="00D83F3D">
        <w:t xml:space="preserve"> </w:t>
      </w:r>
    </w:p>
    <w:p w14:paraId="6CDB57AD" w14:textId="766AFCE7" w:rsidR="00DD26AB" w:rsidRDefault="00676C94" w:rsidP="004E7C2A">
      <w:pPr>
        <w:rPr>
          <w:b/>
          <w:bCs/>
        </w:rPr>
      </w:pPr>
      <w:r>
        <w:rPr>
          <w:b/>
          <w:bCs/>
        </w:rPr>
        <w:t>AEA Technology Pension Scheme</w:t>
      </w:r>
    </w:p>
    <w:p w14:paraId="042EBAEA" w14:textId="4E762EAC" w:rsidR="0008293D" w:rsidRDefault="0008293D" w:rsidP="00676C94">
      <w:r>
        <w:t>There is general agreement that AEA Technology Pension Scheme members:</w:t>
      </w:r>
    </w:p>
    <w:p w14:paraId="438929F7" w14:textId="77777777" w:rsidR="0008293D" w:rsidRDefault="0008293D" w:rsidP="00676C94">
      <w:r>
        <w:t xml:space="preserve">(1) Suffered significant pension losses, and </w:t>
      </w:r>
    </w:p>
    <w:p w14:paraId="0BA225C7" w14:textId="6C2CE503" w:rsidR="0008293D" w:rsidRDefault="0008293D" w:rsidP="00676C94">
      <w:r>
        <w:t xml:space="preserve">(2) Have never had their complaints about these losses properly investigated. </w:t>
      </w:r>
    </w:p>
    <w:p w14:paraId="2C300C81" w14:textId="1BE8523A" w:rsidR="00676C94" w:rsidRDefault="0008293D" w:rsidP="00676C94">
      <w:r>
        <w:t>In its report</w:t>
      </w:r>
      <w:r w:rsidR="002471CA">
        <w:rPr>
          <w:rStyle w:val="FootnoteReference"/>
        </w:rPr>
        <w:footnoteReference w:id="1"/>
      </w:r>
      <w:r>
        <w:t xml:space="preserve"> on this issue, the Public Accounts Committee recommended that:</w:t>
      </w:r>
    </w:p>
    <w:p w14:paraId="0E67AB75" w14:textId="500AF9B1" w:rsidR="0008293D" w:rsidRDefault="0008293D" w:rsidP="00676C94">
      <w:r>
        <w:t>“</w:t>
      </w:r>
      <w:r w:rsidRPr="0008293D">
        <w:t>The government should ensure that members’ complaints about the AEAT pension case can be independently reviewed, for example by a relevant ombudsman.</w:t>
      </w:r>
      <w:r>
        <w:t>”</w:t>
      </w:r>
    </w:p>
    <w:p w14:paraId="5A7AE44E" w14:textId="11A8CAF6" w:rsidR="0008293D" w:rsidRDefault="0008293D" w:rsidP="00676C94">
      <w:r>
        <w:lastRenderedPageBreak/>
        <w:t>This is not a radical or sweeping recommendation, it is surely the least that any citizen in this position should be able to count on.</w:t>
      </w:r>
    </w:p>
    <w:p w14:paraId="01CC5000" w14:textId="2D97050B" w:rsidR="00AE5713" w:rsidRDefault="0008293D" w:rsidP="00676C94">
      <w:r>
        <w:t xml:space="preserve">The </w:t>
      </w:r>
      <w:r w:rsidR="00AE5713">
        <w:t>Treasury</w:t>
      </w:r>
      <w:r>
        <w:t>’s response</w:t>
      </w:r>
      <w:r w:rsidR="002471CA">
        <w:rPr>
          <w:rStyle w:val="FootnoteReference"/>
        </w:rPr>
        <w:footnoteReference w:id="2"/>
      </w:r>
      <w:r>
        <w:t xml:space="preserve"> to this recommendation was that</w:t>
      </w:r>
      <w:r w:rsidR="00AE5713">
        <w:t xml:space="preserve"> it “</w:t>
      </w:r>
      <w:r w:rsidR="00AE5713" w:rsidRPr="00AE5713">
        <w:t>cannot respond further on this matter as changing the remit of an ombudsman would be a policy matter</w:t>
      </w:r>
      <w:r w:rsidR="00AE5713">
        <w:t>”.</w:t>
      </w:r>
    </w:p>
    <w:p w14:paraId="3F2B9054" w14:textId="7D8561CF" w:rsidR="0008293D" w:rsidRDefault="00AE5713" w:rsidP="00676C94">
      <w:r>
        <w:t>You subsequently corresponded</w:t>
      </w:r>
      <w:r w:rsidR="002471CA">
        <w:rPr>
          <w:rStyle w:val="FootnoteReference"/>
        </w:rPr>
        <w:footnoteReference w:id="3"/>
      </w:r>
      <w:r>
        <w:t xml:space="preserve"> with the Chair of the select committee about this issue and noted that the Pensions Ombudsman can now consider complaints about GAD.</w:t>
      </w:r>
      <w:r>
        <w:tab/>
      </w:r>
      <w:r w:rsidR="0008293D">
        <w:t xml:space="preserve"> </w:t>
      </w:r>
    </w:p>
    <w:p w14:paraId="1D6F1465" w14:textId="77777777" w:rsidR="002471CA" w:rsidRDefault="0008293D" w:rsidP="00676C94">
      <w:r>
        <w:t xml:space="preserve">However, </w:t>
      </w:r>
      <w:r w:rsidR="002471CA">
        <w:t>this power is not retrospective and does not provide for proper consideration of the AEA Technology Pension Scheme members’ complaints.</w:t>
      </w:r>
    </w:p>
    <w:p w14:paraId="0A640340" w14:textId="77777777" w:rsidR="002471CA" w:rsidRDefault="002471CA" w:rsidP="00676C94">
      <w:r>
        <w:t>I do not underestimate the effort required to resolve this issue. However, I think it would be useful to lean on the work that has already been done on this.</w:t>
      </w:r>
    </w:p>
    <w:p w14:paraId="08343A46" w14:textId="7D98217A" w:rsidR="0008293D" w:rsidRDefault="002471CA" w:rsidP="00676C94">
      <w:r>
        <w:t>Over the years, various constituency MPs (such as Oliver Letwin, Ed Vaizey and David Johnston) have considered this issue and proposed legislation that would address it.</w:t>
      </w:r>
    </w:p>
    <w:p w14:paraId="274A686D" w14:textId="3E679E89" w:rsidR="002471CA" w:rsidRPr="0008293D" w:rsidRDefault="002471CA" w:rsidP="00676C94">
      <w:r>
        <w:t xml:space="preserve">This has taken the form of draft amendments to Government Bills and Private Member Bills. </w:t>
      </w:r>
    </w:p>
    <w:p w14:paraId="101F9DE0" w14:textId="36FAAE96" w:rsidR="00A0572A" w:rsidRDefault="002471CA" w:rsidP="004E7C2A">
      <w:r>
        <w:t xml:space="preserve">The general thrust of the proposed legislation has been to authorise the Parliamentary and Health Service </w:t>
      </w:r>
      <w:r w:rsidR="00A0572A">
        <w:t>Ombudsman to investigate these losses</w:t>
      </w:r>
      <w:r w:rsidR="00DD26AB">
        <w:t>.</w:t>
      </w:r>
    </w:p>
    <w:p w14:paraId="0C1B13C1" w14:textId="77777777" w:rsidR="00A0572A" w:rsidRDefault="00A0572A" w:rsidP="004E7C2A">
      <w:r>
        <w:t>In the Public Accounts Committee’s oral evidence session, the representative of the PHSO indicated they would be content to investigate if given these powers.</w:t>
      </w:r>
    </w:p>
    <w:p w14:paraId="6D767B19" w14:textId="29B80CAE" w:rsidR="00A0572A" w:rsidRDefault="00A0572A" w:rsidP="004E7C2A">
      <w:r>
        <w:t>Unfortunately, time is rapidly running out to resolve this issue. I urge you to consider the solution that your colleagues have previously proposed.</w:t>
      </w:r>
    </w:p>
    <w:p w14:paraId="2DAB2857" w14:textId="7E5DCEDA" w:rsidR="00DD26AB" w:rsidRDefault="00A0572A" w:rsidP="004E7C2A">
      <w:r>
        <w:t>The draft legislation to implement this solution is very simple, if given the necessary Parliamentary time it would be very likely to get widespread support.</w:t>
      </w:r>
    </w:p>
    <w:p w14:paraId="6C6EB422" w14:textId="561A6C10" w:rsidR="00F8632F" w:rsidRDefault="00A0572A" w:rsidP="004E7C2A">
      <w:r>
        <w:rPr>
          <w:b/>
          <w:bCs/>
        </w:rPr>
        <w:t>Pension Protection Fund Compensation</w:t>
      </w:r>
    </w:p>
    <w:p w14:paraId="705B45C1" w14:textId="455E2E1E" w:rsidR="0015650F" w:rsidRDefault="00A0572A" w:rsidP="00A0572A">
      <w:r>
        <w:t>Prospect’s evidence</w:t>
      </w:r>
      <w:r w:rsidR="00CC14F4">
        <w:rPr>
          <w:rStyle w:val="FootnoteReference"/>
        </w:rPr>
        <w:footnoteReference w:id="4"/>
      </w:r>
      <w:r>
        <w:t xml:space="preserve"> </w:t>
      </w:r>
      <w:r w:rsidR="00CC14F4">
        <w:t xml:space="preserve">to the select committee </w:t>
      </w:r>
      <w:r>
        <w:t>on th</w:t>
      </w:r>
      <w:r w:rsidR="007E02A8">
        <w:t>is issue</w:t>
      </w:r>
      <w:r w:rsidR="0015650F">
        <w:t xml:space="preserve"> </w:t>
      </w:r>
      <w:r w:rsidR="007E02A8">
        <w:t xml:space="preserve">made </w:t>
      </w:r>
      <w:proofErr w:type="gramStart"/>
      <w:r w:rsidR="007E02A8">
        <w:t>a number of</w:t>
      </w:r>
      <w:proofErr w:type="gramEnd"/>
      <w:r w:rsidR="007E02A8">
        <w:t xml:space="preserve"> points</w:t>
      </w:r>
      <w:r w:rsidR="0015650F">
        <w:t>:</w:t>
      </w:r>
    </w:p>
    <w:p w14:paraId="361EB596" w14:textId="5D1F74BE" w:rsidR="00071562" w:rsidRDefault="00CC14F4" w:rsidP="00CC14F4">
      <w:pPr>
        <w:pStyle w:val="ListParagraph"/>
        <w:numPr>
          <w:ilvl w:val="0"/>
          <w:numId w:val="33"/>
        </w:numPr>
      </w:pPr>
      <w:r>
        <w:t>The lack of indexation</w:t>
      </w:r>
      <w:r w:rsidR="0058178A">
        <w:t xml:space="preserve"> has caused real hardship for PPF and FAS members at a time of very high inflation. It is particularly devastating for those whose entire compensation relates to pre</w:t>
      </w:r>
      <w:r w:rsidR="007E02A8">
        <w:t>-</w:t>
      </w:r>
      <w:r w:rsidR="0058178A">
        <w:t>April ’97 accruals, as they have been getting no increase at all.</w:t>
      </w:r>
    </w:p>
    <w:p w14:paraId="2C8E45C9" w14:textId="33E7FA9B" w:rsidR="0058178A" w:rsidRDefault="007E02A8" w:rsidP="00CC14F4">
      <w:pPr>
        <w:pStyle w:val="ListParagraph"/>
        <w:numPr>
          <w:ilvl w:val="0"/>
          <w:numId w:val="33"/>
        </w:numPr>
      </w:pPr>
      <w:r>
        <w:t>PPF data shows that women and older members are disproportionately impacted by this issue.</w:t>
      </w:r>
    </w:p>
    <w:p w14:paraId="5CDDF159" w14:textId="7D51125A" w:rsidR="007E02A8" w:rsidRDefault="007E02A8" w:rsidP="00CC14F4">
      <w:pPr>
        <w:pStyle w:val="ListParagraph"/>
        <w:numPr>
          <w:ilvl w:val="0"/>
          <w:numId w:val="33"/>
        </w:numPr>
      </w:pPr>
      <w:r>
        <w:t>The PPF’s funding position is very strong (and has been improving). It would be possible to take measures to improve the indexation of compensation in respect of pre-April ’97 accruals, while also continuing to reduce the PPF levy.</w:t>
      </w:r>
    </w:p>
    <w:p w14:paraId="0B032035" w14:textId="396650B9" w:rsidR="004F0384" w:rsidRDefault="007E02A8" w:rsidP="007E02A8">
      <w:r>
        <w:t>Since this evidence was submitted, the PPF have provided the select committee with further data</w:t>
      </w:r>
      <w:r w:rsidR="004F0384">
        <w:rPr>
          <w:rStyle w:val="FootnoteReference"/>
        </w:rPr>
        <w:footnoteReference w:id="5"/>
      </w:r>
      <w:r>
        <w:t xml:space="preserve"> showing that</w:t>
      </w:r>
      <w:r w:rsidR="004F0384">
        <w:t xml:space="preserve"> improvements to indexation of compensation w</w:t>
      </w:r>
      <w:r w:rsidR="007F600A">
        <w:t>ere</w:t>
      </w:r>
      <w:r w:rsidR="004F0384">
        <w:t xml:space="preserve"> affordable.</w:t>
      </w:r>
    </w:p>
    <w:p w14:paraId="532C8650" w14:textId="6A6B06A4" w:rsidR="007E02A8" w:rsidRDefault="004F0384" w:rsidP="007E02A8">
      <w:r>
        <w:t xml:space="preserve">Not only would improving PPF compensation not have any cost to the Exchequer, </w:t>
      </w:r>
      <w:proofErr w:type="gramStart"/>
      <w:r>
        <w:t>it would</w:t>
      </w:r>
      <w:proofErr w:type="gramEnd"/>
      <w:r>
        <w:t xml:space="preserve"> actually slightly increase receipts as much of the extra compensation would be taxable.</w:t>
      </w:r>
      <w:r w:rsidR="007E02A8">
        <w:t xml:space="preserve"> </w:t>
      </w:r>
    </w:p>
    <w:p w14:paraId="75F0F8EB" w14:textId="321B28E0" w:rsidR="00AD5AFB" w:rsidRDefault="004F0384" w:rsidP="004E7C2A">
      <w:r>
        <w:lastRenderedPageBreak/>
        <w:t xml:space="preserve">We welcome the extra consideration you are giving to this issue and urge you to </w:t>
      </w:r>
      <w:r w:rsidR="007F600A">
        <w:t>take action to tackle</w:t>
      </w:r>
      <w:r>
        <w:t xml:space="preserve"> the real financial distress that many PPF (and FAS) members are currently experiencing.</w:t>
      </w:r>
    </w:p>
    <w:p w14:paraId="46644EF6" w14:textId="65C90F64" w:rsidR="004E7379" w:rsidRPr="00547E35" w:rsidRDefault="00547E35" w:rsidP="00E16767">
      <w:pPr>
        <w:rPr>
          <w:b/>
          <w:bCs/>
        </w:rPr>
      </w:pPr>
      <w:r>
        <w:rPr>
          <w:b/>
          <w:bCs/>
        </w:rPr>
        <w:t>Summary</w:t>
      </w:r>
    </w:p>
    <w:p w14:paraId="2F2D7BB5" w14:textId="733694C9" w:rsidR="00547E35" w:rsidRDefault="004F0384" w:rsidP="00547E35">
      <w:r>
        <w:t>Prospect members greatly appreciate the work you are undertaking on these issues</w:t>
      </w:r>
      <w:r w:rsidR="00C753CA">
        <w:t>.</w:t>
      </w:r>
      <w:r>
        <w:t xml:space="preserve"> I would be happy to address any queries you might have about the points made in this letter.</w:t>
      </w:r>
    </w:p>
    <w:p w14:paraId="60DBC0F3" w14:textId="77777777" w:rsidR="004F0384" w:rsidRDefault="004F0384" w:rsidP="00E16767"/>
    <w:p w14:paraId="46816C70" w14:textId="68FD84C7" w:rsidR="00E16767" w:rsidRDefault="000D2691" w:rsidP="00E16767">
      <w:r>
        <w:t xml:space="preserve"> </w:t>
      </w:r>
    </w:p>
    <w:p w14:paraId="6B92C0F9" w14:textId="1E73DFEF" w:rsidR="00E16767" w:rsidRDefault="00E16767" w:rsidP="00E16767">
      <w:r>
        <w:t>Yours sincerely</w:t>
      </w:r>
      <w:r w:rsidR="00AF4D1E">
        <w:t>,</w:t>
      </w:r>
    </w:p>
    <w:p w14:paraId="045AD559" w14:textId="4D0E66CE" w:rsidR="00E16767" w:rsidRDefault="00E16767" w:rsidP="00E16767"/>
    <w:p w14:paraId="3C8ACA92" w14:textId="77777777" w:rsidR="003B6199" w:rsidRDefault="003B6199" w:rsidP="00E16767"/>
    <w:p w14:paraId="35306864" w14:textId="49A4A9AE" w:rsidR="00E16767" w:rsidRDefault="003B6199" w:rsidP="00E16767">
      <w:pPr>
        <w:rPr>
          <w:b/>
          <w:bCs/>
        </w:rPr>
      </w:pPr>
      <w:r>
        <w:rPr>
          <w:b/>
          <w:bCs/>
        </w:rPr>
        <w:t>GARRY GRAHAM</w:t>
      </w:r>
    </w:p>
    <w:p w14:paraId="7599037F" w14:textId="6537FF6C" w:rsidR="00E16767" w:rsidRPr="00E16767" w:rsidRDefault="00E16767" w:rsidP="00E16767">
      <w:r>
        <w:t>Deputy General Secretary</w:t>
      </w:r>
    </w:p>
    <w:sectPr w:rsidR="00E16767" w:rsidRPr="00E16767" w:rsidSect="00ED472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3372" w14:textId="77777777" w:rsidR="0088756F" w:rsidRDefault="0088756F">
      <w:r>
        <w:separator/>
      </w:r>
    </w:p>
  </w:endnote>
  <w:endnote w:type="continuationSeparator" w:id="0">
    <w:p w14:paraId="4B7B4F3A" w14:textId="77777777" w:rsidR="0088756F" w:rsidRDefault="008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61F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899417D" w14:textId="77777777" w:rsidR="001918F6" w:rsidRDefault="001918F6">
    <w:pPr>
      <w:pStyle w:val="Footer"/>
    </w:pPr>
  </w:p>
  <w:p w14:paraId="4A7227AF" w14:textId="77777777" w:rsidR="00DC76CB" w:rsidRDefault="00DC7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EE8B" w14:textId="77777777" w:rsidR="00502984" w:rsidRDefault="00502984" w:rsidP="003E7906">
    <w:pPr>
      <w:pStyle w:val="Footer"/>
    </w:pPr>
  </w:p>
  <w:p w14:paraId="1B620A43" w14:textId="77777777" w:rsidR="00DC76CB" w:rsidRDefault="00E34C55" w:rsidP="00502984">
    <w:pPr>
      <w:pStyle w:val="Footer"/>
      <w:jc w:val="center"/>
    </w:pPr>
    <w:r w:rsidRPr="00502984">
      <w:fldChar w:fldCharType="begin"/>
    </w:r>
    <w:r w:rsidRPr="00502984">
      <w:instrText xml:space="preserve">PAGE  </w:instrText>
    </w:r>
    <w:r w:rsidRPr="00502984">
      <w:fldChar w:fldCharType="separate"/>
    </w:r>
    <w:r w:rsidR="00502984">
      <w:rPr>
        <w:noProof/>
      </w:rPr>
      <w:t>2</w:t>
    </w:r>
    <w:r w:rsidRPr="005029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pPr w:leftFromText="187" w:rightFromText="187" w:vertAnchor="page" w:horzAnchor="page" w:tblpX="1702" w:tblpY="15083"/>
      <w:tblOverlap w:val="never"/>
      <w:tblW w:w="8489" w:type="dxa"/>
      <w:tblBorders>
        <w:top w:val="none" w:sz="0" w:space="0" w:color="auto"/>
        <w:left w:val="single" w:sz="12" w:space="0" w:color="FFD700"/>
        <w:bottom w:val="none" w:sz="0" w:space="0" w:color="auto"/>
        <w:right w:val="none" w:sz="0" w:space="0" w:color="auto"/>
        <w:insideH w:val="single" w:sz="12" w:space="0" w:color="FFD700"/>
        <w:insideV w:val="single" w:sz="12" w:space="0" w:color="FFD700"/>
      </w:tblBorders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4240"/>
      <w:gridCol w:w="4249"/>
    </w:tblGrid>
    <w:tr w:rsidR="00E84930" w:rsidRPr="00CB5A86" w14:paraId="673C9426" w14:textId="77777777" w:rsidTr="00BD4843">
      <w:tc>
        <w:tcPr>
          <w:tcW w:w="4244" w:type="dxa"/>
          <w:shd w:val="clear" w:color="auto" w:fill="auto"/>
          <w:noWrap/>
          <w:vAlign w:val="bottom"/>
        </w:tcPr>
        <w:p w14:paraId="3B2DCE80" w14:textId="77777777" w:rsidR="00E84930" w:rsidRPr="00CB5A86" w:rsidRDefault="00E84930" w:rsidP="00BD4843">
          <w:pPr>
            <w:pStyle w:val="Prospectaddress"/>
          </w:pPr>
          <w:r w:rsidRPr="00CB5A86">
            <w:t>New Prospect House</w:t>
          </w:r>
        </w:p>
        <w:p w14:paraId="6757CD2E" w14:textId="77777777" w:rsidR="00E84930" w:rsidRPr="009E6FEE" w:rsidRDefault="00E84930" w:rsidP="00BD4843">
          <w:pPr>
            <w:pStyle w:val="Prospectaddress"/>
          </w:pPr>
          <w:r w:rsidRPr="009E6FEE">
            <w:t>8 Leake Street</w:t>
          </w:r>
        </w:p>
        <w:p w14:paraId="2E673EE5" w14:textId="77777777" w:rsidR="00E84930" w:rsidRPr="00CB5A86" w:rsidRDefault="00E84930" w:rsidP="00BD4843">
          <w:pPr>
            <w:pStyle w:val="Prospectaddress"/>
          </w:pPr>
          <w:r w:rsidRPr="00CB5A86">
            <w:t>London</w:t>
          </w:r>
        </w:p>
        <w:p w14:paraId="49E4A138" w14:textId="77777777" w:rsidR="00E84930" w:rsidRPr="00CB5A86" w:rsidRDefault="00E84930" w:rsidP="00BD4843">
          <w:pPr>
            <w:pStyle w:val="Prospectaddress"/>
          </w:pPr>
          <w:r w:rsidRPr="00CB5A86">
            <w:t>SE1 7NN</w:t>
          </w:r>
        </w:p>
      </w:tc>
      <w:tc>
        <w:tcPr>
          <w:tcW w:w="4245" w:type="dxa"/>
          <w:shd w:val="clear" w:color="auto" w:fill="auto"/>
          <w:noWrap/>
          <w:vAlign w:val="bottom"/>
        </w:tcPr>
        <w:p w14:paraId="6309CCDD" w14:textId="77777777" w:rsidR="00E84930" w:rsidRPr="00CB5A86" w:rsidRDefault="00E84930" w:rsidP="00BD4843">
          <w:pPr>
            <w:pStyle w:val="Prospectaddress"/>
          </w:pPr>
          <w:r w:rsidRPr="00CB5A86">
            <w:t>0300 600 1878</w:t>
          </w:r>
        </w:p>
        <w:p w14:paraId="0A052D3B" w14:textId="77777777" w:rsidR="00E84930" w:rsidRPr="00CB5A86" w:rsidRDefault="00E84930" w:rsidP="00BD4843">
          <w:pPr>
            <w:pStyle w:val="Prospectaddress"/>
          </w:pPr>
          <w:r w:rsidRPr="00F660E2">
            <w:t>info@prospect.org.uk</w:t>
          </w:r>
        </w:p>
        <w:p w14:paraId="03A4D5FA" w14:textId="77777777" w:rsidR="00E84930" w:rsidRPr="00CB5A86" w:rsidRDefault="00E84930" w:rsidP="00BD4843">
          <w:pPr>
            <w:pStyle w:val="Prospectaddress"/>
          </w:pPr>
        </w:p>
        <w:p w14:paraId="65B18B5E" w14:textId="77777777" w:rsidR="00E84930" w:rsidRPr="00CB5A86" w:rsidRDefault="00E84930" w:rsidP="00BD4843">
          <w:pPr>
            <w:pStyle w:val="Prospectaddress"/>
          </w:pPr>
          <w:r w:rsidRPr="00CB5A86">
            <w:t>prospect.org.uk</w:t>
          </w:r>
        </w:p>
      </w:tc>
    </w:tr>
  </w:tbl>
  <w:p w14:paraId="1A0C7170" w14:textId="77777777" w:rsidR="00193849" w:rsidRDefault="00193849" w:rsidP="00E84930">
    <w:pPr>
      <w:pStyle w:val="Footer"/>
      <w:spacing w:afterLines="60" w:after="144"/>
      <w:rPr>
        <w:sz w:val="17"/>
      </w:rPr>
    </w:pPr>
  </w:p>
  <w:p w14:paraId="6A68A449" w14:textId="77777777" w:rsidR="003E7906" w:rsidRPr="003E7906" w:rsidRDefault="003E7906" w:rsidP="003E79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6094" w14:textId="77777777" w:rsidR="0088756F" w:rsidRDefault="0088756F">
      <w:r>
        <w:separator/>
      </w:r>
    </w:p>
  </w:footnote>
  <w:footnote w:type="continuationSeparator" w:id="0">
    <w:p w14:paraId="282CAFAB" w14:textId="77777777" w:rsidR="0088756F" w:rsidRDefault="0088756F">
      <w:r>
        <w:continuationSeparator/>
      </w:r>
    </w:p>
  </w:footnote>
  <w:footnote w:id="1">
    <w:p w14:paraId="3AA7446D" w14:textId="57C5E20D" w:rsidR="002471CA" w:rsidRDefault="00247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AEA Technology Pension Case (parliament.uk)</w:t>
        </w:r>
      </w:hyperlink>
    </w:p>
  </w:footnote>
  <w:footnote w:id="2">
    <w:p w14:paraId="15A94D3E" w14:textId="383B727D" w:rsidR="002471CA" w:rsidRDefault="00247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Treasury Minutes – Government Response to the Committee of Public Accounts on the Fifty-fifth to the Sixtieth reports from Session 2022-23 (parliament.uk)</w:t>
        </w:r>
      </w:hyperlink>
    </w:p>
  </w:footnote>
  <w:footnote w:id="3">
    <w:p w14:paraId="01064B8C" w14:textId="3ACA1866" w:rsidR="002471CA" w:rsidRDefault="00247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Treasury Minutes – Government Response to the Committee of Public Accounts on the Fifty-fifth to the Sixtieth reports from Session 2022-23 (parliament.uk)</w:t>
        </w:r>
      </w:hyperlink>
    </w:p>
  </w:footnote>
  <w:footnote w:id="4">
    <w:p w14:paraId="159F9A8C" w14:textId="69F3F425" w:rsidR="00CC14F4" w:rsidRDefault="00CC14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committees.parliament.uk/</w:t>
        </w:r>
        <w:proofErr w:type="spellStart"/>
        <w:r>
          <w:rPr>
            <w:rStyle w:val="Hyperlink"/>
          </w:rPr>
          <w:t>writtenevidence</w:t>
        </w:r>
        <w:proofErr w:type="spellEnd"/>
        <w:r>
          <w:rPr>
            <w:rStyle w:val="Hyperlink"/>
          </w:rPr>
          <w:t>/120560/pdf/</w:t>
        </w:r>
      </w:hyperlink>
    </w:p>
  </w:footnote>
  <w:footnote w:id="5">
    <w:p w14:paraId="60287A79" w14:textId="4E972517" w:rsidR="004F0384" w:rsidRDefault="004F0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committees.parliament.uk/publications/42573/documents/211663/default/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A073" w14:textId="77777777" w:rsidR="00193849" w:rsidRDefault="00A540F0">
    <w:r>
      <w:rPr>
        <w:noProof/>
      </w:rPr>
      <w:drawing>
        <wp:anchor distT="0" distB="0" distL="114300" distR="114300" simplePos="0" relativeHeight="251659264" behindDoc="0" locked="0" layoutInCell="1" allowOverlap="1" wp14:anchorId="44E822D2" wp14:editId="188CBB91">
          <wp:simplePos x="0" y="0"/>
          <wp:positionH relativeFrom="page">
            <wp:align>center</wp:align>
          </wp:positionH>
          <wp:positionV relativeFrom="page">
            <wp:posOffset>453390</wp:posOffset>
          </wp:positionV>
          <wp:extent cx="2001600" cy="1004400"/>
          <wp:effectExtent l="0" t="0" r="5080" b="0"/>
          <wp:wrapTight wrapText="bothSides">
            <wp:wrapPolygon edited="0">
              <wp:start x="10827" y="0"/>
              <wp:lineTo x="6579" y="4918"/>
              <wp:lineTo x="4797" y="5192"/>
              <wp:lineTo x="4523" y="5738"/>
              <wp:lineTo x="4934" y="9290"/>
              <wp:lineTo x="0" y="12569"/>
              <wp:lineTo x="0" y="21313"/>
              <wp:lineTo x="10964" y="21313"/>
              <wp:lineTo x="21518" y="19127"/>
              <wp:lineTo x="21518" y="13662"/>
              <wp:lineTo x="20970" y="13662"/>
              <wp:lineTo x="21244" y="12023"/>
              <wp:lineTo x="19325" y="10930"/>
              <wp:lineTo x="11924" y="9290"/>
              <wp:lineTo x="19599" y="9290"/>
              <wp:lineTo x="20970" y="8744"/>
              <wp:lineTo x="20695" y="4918"/>
              <wp:lineTo x="21381" y="1366"/>
              <wp:lineTo x="20558" y="1093"/>
              <wp:lineTo x="12061" y="0"/>
              <wp:lineTo x="108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spect_Logo_Black_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969A10F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EA176B"/>
    <w:multiLevelType w:val="hybridMultilevel"/>
    <w:tmpl w:val="5352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476"/>
    <w:multiLevelType w:val="hybridMultilevel"/>
    <w:tmpl w:val="E988B290"/>
    <w:lvl w:ilvl="0" w:tplc="108AC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7DD"/>
    <w:multiLevelType w:val="hybridMultilevel"/>
    <w:tmpl w:val="CC4C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5" w15:restartNumberingAfterBreak="0">
    <w:nsid w:val="2F2E2FF1"/>
    <w:multiLevelType w:val="hybridMultilevel"/>
    <w:tmpl w:val="C6567008"/>
    <w:lvl w:ilvl="0" w:tplc="9520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6237"/>
    <w:multiLevelType w:val="hybridMultilevel"/>
    <w:tmpl w:val="CD4A4D8A"/>
    <w:lvl w:ilvl="0" w:tplc="50EE2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429"/>
    <w:multiLevelType w:val="hybridMultilevel"/>
    <w:tmpl w:val="F9C458FA"/>
    <w:lvl w:ilvl="0" w:tplc="5D3C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D10859"/>
    <w:multiLevelType w:val="hybridMultilevel"/>
    <w:tmpl w:val="FBC0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1F88"/>
    <w:multiLevelType w:val="hybridMultilevel"/>
    <w:tmpl w:val="9B84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B26E1"/>
    <w:multiLevelType w:val="hybridMultilevel"/>
    <w:tmpl w:val="9712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724E"/>
    <w:multiLevelType w:val="hybridMultilevel"/>
    <w:tmpl w:val="34285154"/>
    <w:lvl w:ilvl="0" w:tplc="DEF84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A016B"/>
    <w:multiLevelType w:val="hybridMultilevel"/>
    <w:tmpl w:val="80FA6CC2"/>
    <w:lvl w:ilvl="0" w:tplc="8818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3349"/>
    <w:multiLevelType w:val="hybridMultilevel"/>
    <w:tmpl w:val="454002EA"/>
    <w:lvl w:ilvl="0" w:tplc="28FA4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3CBE"/>
    <w:multiLevelType w:val="hybridMultilevel"/>
    <w:tmpl w:val="31DC1AAC"/>
    <w:lvl w:ilvl="0" w:tplc="262E0E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70F10"/>
    <w:multiLevelType w:val="hybridMultilevel"/>
    <w:tmpl w:val="0B84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D5139"/>
    <w:multiLevelType w:val="hybridMultilevel"/>
    <w:tmpl w:val="15722F94"/>
    <w:lvl w:ilvl="0" w:tplc="2FE6DD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4357F"/>
    <w:multiLevelType w:val="hybridMultilevel"/>
    <w:tmpl w:val="7F820FB8"/>
    <w:lvl w:ilvl="0" w:tplc="BD865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97509">
    <w:abstractNumId w:val="8"/>
  </w:num>
  <w:num w:numId="2" w16cid:durableId="1632976608">
    <w:abstractNumId w:val="0"/>
  </w:num>
  <w:num w:numId="3" w16cid:durableId="1291546288">
    <w:abstractNumId w:val="4"/>
  </w:num>
  <w:num w:numId="4" w16cid:durableId="1967733930">
    <w:abstractNumId w:val="14"/>
  </w:num>
  <w:num w:numId="5" w16cid:durableId="879317830">
    <w:abstractNumId w:val="15"/>
  </w:num>
  <w:num w:numId="6" w16cid:durableId="2145460945">
    <w:abstractNumId w:val="10"/>
  </w:num>
  <w:num w:numId="7" w16cid:durableId="1022390601">
    <w:abstractNumId w:val="4"/>
  </w:num>
  <w:num w:numId="8" w16cid:durableId="1001933344">
    <w:abstractNumId w:val="4"/>
  </w:num>
  <w:num w:numId="9" w16cid:durableId="2070490373">
    <w:abstractNumId w:val="4"/>
  </w:num>
  <w:num w:numId="10" w16cid:durableId="2052456814">
    <w:abstractNumId w:val="4"/>
  </w:num>
  <w:num w:numId="11" w16cid:durableId="1377467292">
    <w:abstractNumId w:val="4"/>
  </w:num>
  <w:num w:numId="12" w16cid:durableId="856384948">
    <w:abstractNumId w:val="0"/>
  </w:num>
  <w:num w:numId="13" w16cid:durableId="1769807156">
    <w:abstractNumId w:val="0"/>
  </w:num>
  <w:num w:numId="14" w16cid:durableId="156238301">
    <w:abstractNumId w:val="0"/>
  </w:num>
  <w:num w:numId="15" w16cid:durableId="1030254564">
    <w:abstractNumId w:val="0"/>
  </w:num>
  <w:num w:numId="16" w16cid:durableId="1668289254">
    <w:abstractNumId w:val="0"/>
  </w:num>
  <w:num w:numId="17" w16cid:durableId="217012872">
    <w:abstractNumId w:val="4"/>
  </w:num>
  <w:num w:numId="18" w16cid:durableId="1099835327">
    <w:abstractNumId w:val="19"/>
  </w:num>
  <w:num w:numId="19" w16cid:durableId="1124229792">
    <w:abstractNumId w:val="9"/>
  </w:num>
  <w:num w:numId="20" w16cid:durableId="452215401">
    <w:abstractNumId w:val="3"/>
  </w:num>
  <w:num w:numId="21" w16cid:durableId="1759053865">
    <w:abstractNumId w:val="1"/>
  </w:num>
  <w:num w:numId="22" w16cid:durableId="1734501503">
    <w:abstractNumId w:val="11"/>
  </w:num>
  <w:num w:numId="23" w16cid:durableId="1964925376">
    <w:abstractNumId w:val="12"/>
  </w:num>
  <w:num w:numId="24" w16cid:durableId="899096141">
    <w:abstractNumId w:val="20"/>
  </w:num>
  <w:num w:numId="25" w16cid:durableId="1322201333">
    <w:abstractNumId w:val="21"/>
  </w:num>
  <w:num w:numId="26" w16cid:durableId="1011494750">
    <w:abstractNumId w:val="13"/>
  </w:num>
  <w:num w:numId="27" w16cid:durableId="1791167430">
    <w:abstractNumId w:val="5"/>
  </w:num>
  <w:num w:numId="28" w16cid:durableId="1951356948">
    <w:abstractNumId w:val="7"/>
  </w:num>
  <w:num w:numId="29" w16cid:durableId="1904370826">
    <w:abstractNumId w:val="16"/>
  </w:num>
  <w:num w:numId="30" w16cid:durableId="956527454">
    <w:abstractNumId w:val="6"/>
  </w:num>
  <w:num w:numId="31" w16cid:durableId="497385197">
    <w:abstractNumId w:val="17"/>
  </w:num>
  <w:num w:numId="32" w16cid:durableId="807744722">
    <w:abstractNumId w:val="18"/>
  </w:num>
  <w:num w:numId="33" w16cid:durableId="99707958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7"/>
    <w:rsid w:val="000124BA"/>
    <w:rsid w:val="000235B3"/>
    <w:rsid w:val="00025ECB"/>
    <w:rsid w:val="00032DF0"/>
    <w:rsid w:val="00036FE1"/>
    <w:rsid w:val="00064583"/>
    <w:rsid w:val="00071562"/>
    <w:rsid w:val="000717AC"/>
    <w:rsid w:val="000765A0"/>
    <w:rsid w:val="00081503"/>
    <w:rsid w:val="00082524"/>
    <w:rsid w:val="0008293D"/>
    <w:rsid w:val="00091DD9"/>
    <w:rsid w:val="000D2691"/>
    <w:rsid w:val="000F3F26"/>
    <w:rsid w:val="001004E8"/>
    <w:rsid w:val="00105D2D"/>
    <w:rsid w:val="00134E85"/>
    <w:rsid w:val="00141B29"/>
    <w:rsid w:val="001465A5"/>
    <w:rsid w:val="00146EF4"/>
    <w:rsid w:val="00146F22"/>
    <w:rsid w:val="0014748E"/>
    <w:rsid w:val="001520AF"/>
    <w:rsid w:val="00152CBE"/>
    <w:rsid w:val="0015465B"/>
    <w:rsid w:val="0015650F"/>
    <w:rsid w:val="00167C0A"/>
    <w:rsid w:val="00172AC2"/>
    <w:rsid w:val="00172CCE"/>
    <w:rsid w:val="00183D96"/>
    <w:rsid w:val="001918F6"/>
    <w:rsid w:val="00193849"/>
    <w:rsid w:val="00195490"/>
    <w:rsid w:val="001A3510"/>
    <w:rsid w:val="001E58F2"/>
    <w:rsid w:val="001E7E4F"/>
    <w:rsid w:val="00203500"/>
    <w:rsid w:val="00215CE4"/>
    <w:rsid w:val="00244EF3"/>
    <w:rsid w:val="002471CA"/>
    <w:rsid w:val="00272F52"/>
    <w:rsid w:val="0028397E"/>
    <w:rsid w:val="002B48FC"/>
    <w:rsid w:val="002E2A35"/>
    <w:rsid w:val="002E393D"/>
    <w:rsid w:val="002F3876"/>
    <w:rsid w:val="00315373"/>
    <w:rsid w:val="0033781F"/>
    <w:rsid w:val="003413C4"/>
    <w:rsid w:val="003425DB"/>
    <w:rsid w:val="003603C9"/>
    <w:rsid w:val="00362F62"/>
    <w:rsid w:val="00364F0E"/>
    <w:rsid w:val="00366762"/>
    <w:rsid w:val="00372C78"/>
    <w:rsid w:val="003808A6"/>
    <w:rsid w:val="00392673"/>
    <w:rsid w:val="003A579B"/>
    <w:rsid w:val="003B2FE9"/>
    <w:rsid w:val="003B4D0F"/>
    <w:rsid w:val="003B6199"/>
    <w:rsid w:val="003C2264"/>
    <w:rsid w:val="003E7906"/>
    <w:rsid w:val="00423A64"/>
    <w:rsid w:val="00443B66"/>
    <w:rsid w:val="0047381D"/>
    <w:rsid w:val="004915D6"/>
    <w:rsid w:val="00497C81"/>
    <w:rsid w:val="004B6757"/>
    <w:rsid w:val="004C40F8"/>
    <w:rsid w:val="004C5381"/>
    <w:rsid w:val="004E7379"/>
    <w:rsid w:val="004E7C2A"/>
    <w:rsid w:val="004F0384"/>
    <w:rsid w:val="004F3302"/>
    <w:rsid w:val="004F553A"/>
    <w:rsid w:val="00502984"/>
    <w:rsid w:val="0051081E"/>
    <w:rsid w:val="00521A6D"/>
    <w:rsid w:val="00521E08"/>
    <w:rsid w:val="0052426E"/>
    <w:rsid w:val="005300F4"/>
    <w:rsid w:val="00547E35"/>
    <w:rsid w:val="00562BC2"/>
    <w:rsid w:val="00565668"/>
    <w:rsid w:val="0058178A"/>
    <w:rsid w:val="005B38C8"/>
    <w:rsid w:val="005D618A"/>
    <w:rsid w:val="00602FDA"/>
    <w:rsid w:val="006132DE"/>
    <w:rsid w:val="00632AC9"/>
    <w:rsid w:val="006404CE"/>
    <w:rsid w:val="00643A7A"/>
    <w:rsid w:val="00662353"/>
    <w:rsid w:val="00662F22"/>
    <w:rsid w:val="00667E2B"/>
    <w:rsid w:val="00676C94"/>
    <w:rsid w:val="006A0FE0"/>
    <w:rsid w:val="006A2192"/>
    <w:rsid w:val="006C3DA4"/>
    <w:rsid w:val="006C7C77"/>
    <w:rsid w:val="006D3043"/>
    <w:rsid w:val="006D3866"/>
    <w:rsid w:val="006F4FF1"/>
    <w:rsid w:val="00715A47"/>
    <w:rsid w:val="007328F4"/>
    <w:rsid w:val="00752F15"/>
    <w:rsid w:val="00771506"/>
    <w:rsid w:val="0077318B"/>
    <w:rsid w:val="00796DB0"/>
    <w:rsid w:val="007A0682"/>
    <w:rsid w:val="007D5AE7"/>
    <w:rsid w:val="007D6C4A"/>
    <w:rsid w:val="007E02A8"/>
    <w:rsid w:val="007F2A5A"/>
    <w:rsid w:val="007F4B7B"/>
    <w:rsid w:val="007F600A"/>
    <w:rsid w:val="00813303"/>
    <w:rsid w:val="0083192C"/>
    <w:rsid w:val="00861A2A"/>
    <w:rsid w:val="008664DD"/>
    <w:rsid w:val="00867417"/>
    <w:rsid w:val="008829EC"/>
    <w:rsid w:val="0088756F"/>
    <w:rsid w:val="008B0412"/>
    <w:rsid w:val="008B50D5"/>
    <w:rsid w:val="008E0B5F"/>
    <w:rsid w:val="008E29C6"/>
    <w:rsid w:val="008E6030"/>
    <w:rsid w:val="008F6C20"/>
    <w:rsid w:val="0090150D"/>
    <w:rsid w:val="00910EAD"/>
    <w:rsid w:val="00930C11"/>
    <w:rsid w:val="00950594"/>
    <w:rsid w:val="00953586"/>
    <w:rsid w:val="009637B8"/>
    <w:rsid w:val="00970F22"/>
    <w:rsid w:val="00997CD5"/>
    <w:rsid w:val="009D1B93"/>
    <w:rsid w:val="00A0020C"/>
    <w:rsid w:val="00A0572A"/>
    <w:rsid w:val="00A50B45"/>
    <w:rsid w:val="00A540F0"/>
    <w:rsid w:val="00A833A6"/>
    <w:rsid w:val="00A9165D"/>
    <w:rsid w:val="00A94622"/>
    <w:rsid w:val="00AA2CE0"/>
    <w:rsid w:val="00AD0AA9"/>
    <w:rsid w:val="00AD5AFB"/>
    <w:rsid w:val="00AE5713"/>
    <w:rsid w:val="00AF4D1E"/>
    <w:rsid w:val="00AF7593"/>
    <w:rsid w:val="00B159B5"/>
    <w:rsid w:val="00B24081"/>
    <w:rsid w:val="00B26A2D"/>
    <w:rsid w:val="00B75CE5"/>
    <w:rsid w:val="00BA1020"/>
    <w:rsid w:val="00BB38E4"/>
    <w:rsid w:val="00BC5099"/>
    <w:rsid w:val="00BD3475"/>
    <w:rsid w:val="00BD4843"/>
    <w:rsid w:val="00BF6A25"/>
    <w:rsid w:val="00C20E59"/>
    <w:rsid w:val="00C265C5"/>
    <w:rsid w:val="00C4410A"/>
    <w:rsid w:val="00C545C7"/>
    <w:rsid w:val="00C55861"/>
    <w:rsid w:val="00C607AF"/>
    <w:rsid w:val="00C753CA"/>
    <w:rsid w:val="00C83D59"/>
    <w:rsid w:val="00C84201"/>
    <w:rsid w:val="00C87D87"/>
    <w:rsid w:val="00C957C2"/>
    <w:rsid w:val="00CA426A"/>
    <w:rsid w:val="00CC14F4"/>
    <w:rsid w:val="00CD1DF7"/>
    <w:rsid w:val="00CD5223"/>
    <w:rsid w:val="00CF1116"/>
    <w:rsid w:val="00D02B4A"/>
    <w:rsid w:val="00D110E9"/>
    <w:rsid w:val="00D3173B"/>
    <w:rsid w:val="00D36AB2"/>
    <w:rsid w:val="00D37FEC"/>
    <w:rsid w:val="00D44FC5"/>
    <w:rsid w:val="00D52A67"/>
    <w:rsid w:val="00D57F26"/>
    <w:rsid w:val="00D65419"/>
    <w:rsid w:val="00D83F3D"/>
    <w:rsid w:val="00DA3584"/>
    <w:rsid w:val="00DA60C0"/>
    <w:rsid w:val="00DC76CB"/>
    <w:rsid w:val="00DD26AB"/>
    <w:rsid w:val="00DD523B"/>
    <w:rsid w:val="00DE23D0"/>
    <w:rsid w:val="00DE7779"/>
    <w:rsid w:val="00E06306"/>
    <w:rsid w:val="00E16767"/>
    <w:rsid w:val="00E34C55"/>
    <w:rsid w:val="00E4501F"/>
    <w:rsid w:val="00E45D5F"/>
    <w:rsid w:val="00E55237"/>
    <w:rsid w:val="00E55A80"/>
    <w:rsid w:val="00E61BA0"/>
    <w:rsid w:val="00E719DC"/>
    <w:rsid w:val="00E75683"/>
    <w:rsid w:val="00E77D9C"/>
    <w:rsid w:val="00E827FA"/>
    <w:rsid w:val="00E831C5"/>
    <w:rsid w:val="00E84930"/>
    <w:rsid w:val="00E85C4F"/>
    <w:rsid w:val="00EA5F22"/>
    <w:rsid w:val="00EC3171"/>
    <w:rsid w:val="00EC73EB"/>
    <w:rsid w:val="00ED4724"/>
    <w:rsid w:val="00ED677E"/>
    <w:rsid w:val="00ED7D47"/>
    <w:rsid w:val="00EE572E"/>
    <w:rsid w:val="00EF0598"/>
    <w:rsid w:val="00F0063B"/>
    <w:rsid w:val="00F0445A"/>
    <w:rsid w:val="00F04FC4"/>
    <w:rsid w:val="00F2616C"/>
    <w:rsid w:val="00F27178"/>
    <w:rsid w:val="00F37908"/>
    <w:rsid w:val="00F4074C"/>
    <w:rsid w:val="00F40DA3"/>
    <w:rsid w:val="00F52018"/>
    <w:rsid w:val="00F60F30"/>
    <w:rsid w:val="00F63D25"/>
    <w:rsid w:val="00F83201"/>
    <w:rsid w:val="00F84168"/>
    <w:rsid w:val="00F8632F"/>
    <w:rsid w:val="00F87EC1"/>
    <w:rsid w:val="00F9350D"/>
    <w:rsid w:val="00FA3EEC"/>
    <w:rsid w:val="00FB0DAC"/>
    <w:rsid w:val="00FE2582"/>
    <w:rsid w:val="00FF57B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4543"/>
  <w15:docId w15:val="{C9C9D49B-1184-4930-A6A4-FF0B9E0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30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E84930"/>
    <w:pPr>
      <w:keepNext/>
      <w:numPr>
        <w:numId w:val="1"/>
      </w:numPr>
      <w:spacing w:before="180" w:after="180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84930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4930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E84930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E84930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6D3866"/>
    <w:pPr>
      <w:numPr>
        <w:numId w:val="17"/>
      </w:numPr>
      <w:tabs>
        <w:tab w:val="left" w:pos="1701"/>
      </w:tabs>
      <w:spacing w:before="120"/>
    </w:pPr>
  </w:style>
  <w:style w:type="paragraph" w:customStyle="1" w:styleId="ListNumbered">
    <w:name w:val="List Numbered"/>
    <w:basedOn w:val="Normal"/>
    <w:semiHidden/>
    <w:qFormat/>
    <w:rsid w:val="00E84930"/>
    <w:pPr>
      <w:spacing w:before="20" w:after="20"/>
      <w:ind w:left="360" w:hanging="360"/>
    </w:pPr>
  </w:style>
  <w:style w:type="character" w:customStyle="1" w:styleId="FooterChar">
    <w:name w:val="Footer Char"/>
    <w:link w:val="Footer"/>
    <w:rsid w:val="00E84930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E84930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E84930"/>
    <w:rPr>
      <w:sz w:val="14"/>
    </w:rPr>
  </w:style>
  <w:style w:type="character" w:customStyle="1" w:styleId="Heading2Char">
    <w:name w:val="Heading 2 Char"/>
    <w:link w:val="Heading2"/>
    <w:rsid w:val="00E84930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E84930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E84930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E84930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E84930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E84930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E84930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E84930"/>
    <w:pPr>
      <w:ind w:left="340"/>
    </w:pPr>
  </w:style>
  <w:style w:type="numbering" w:customStyle="1" w:styleId="Headings">
    <w:name w:val="Headings"/>
    <w:uiPriority w:val="99"/>
    <w:rsid w:val="00E84930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E84930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6D3866"/>
    <w:pPr>
      <w:numPr>
        <w:ilvl w:val="1"/>
        <w:numId w:val="17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4C5381"/>
    <w:pPr>
      <w:numPr>
        <w:ilvl w:val="2"/>
        <w:numId w:val="17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6D3866"/>
    <w:pPr>
      <w:numPr>
        <w:ilvl w:val="3"/>
        <w:numId w:val="17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6D3866"/>
    <w:pPr>
      <w:numPr>
        <w:ilvl w:val="4"/>
        <w:numId w:val="17"/>
      </w:numPr>
      <w:spacing w:before="20" w:after="40"/>
    </w:pPr>
  </w:style>
  <w:style w:type="numbering" w:customStyle="1" w:styleId="ListBullets">
    <w:name w:val="ListBullets"/>
    <w:uiPriority w:val="99"/>
    <w:rsid w:val="00E84930"/>
    <w:pPr>
      <w:numPr>
        <w:numId w:val="3"/>
      </w:numPr>
    </w:pPr>
  </w:style>
  <w:style w:type="paragraph" w:styleId="ListNumber">
    <w:name w:val="List Number"/>
    <w:basedOn w:val="Normal"/>
    <w:qFormat/>
    <w:rsid w:val="006D3866"/>
    <w:pPr>
      <w:numPr>
        <w:numId w:val="16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6D3866"/>
    <w:pPr>
      <w:numPr>
        <w:ilvl w:val="1"/>
        <w:numId w:val="16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6D3866"/>
    <w:pPr>
      <w:numPr>
        <w:ilvl w:val="2"/>
        <w:numId w:val="16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6D3866"/>
    <w:pPr>
      <w:numPr>
        <w:ilvl w:val="3"/>
        <w:numId w:val="16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6D3866"/>
    <w:pPr>
      <w:numPr>
        <w:ilvl w:val="4"/>
        <w:numId w:val="16"/>
      </w:numPr>
      <w:spacing w:before="20" w:after="40"/>
    </w:pPr>
  </w:style>
  <w:style w:type="numbering" w:customStyle="1" w:styleId="ListNumbers">
    <w:name w:val="ListNumbers"/>
    <w:uiPriority w:val="99"/>
    <w:rsid w:val="00E8493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8493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4930"/>
    <w:rPr>
      <w:rFonts w:ascii="Arial" w:hAnsi="Arial" w:cs="Arial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E84930"/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spectaddress">
    <w:name w:val="Prospect address"/>
    <w:basedOn w:val="Footer"/>
    <w:rsid w:val="00E84930"/>
    <w:pPr>
      <w:spacing w:before="0"/>
      <w:contextualSpacing/>
    </w:pPr>
    <w:rPr>
      <w:sz w:val="19"/>
    </w:rPr>
  </w:style>
  <w:style w:type="character" w:styleId="Hyperlink">
    <w:name w:val="Hyperlink"/>
    <w:basedOn w:val="DefaultParagraphFont"/>
    <w:uiPriority w:val="99"/>
    <w:unhideWhenUsed/>
    <w:rsid w:val="00E84930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E84930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E84930"/>
    <w:pPr>
      <w:spacing w:before="140"/>
    </w:pPr>
  </w:style>
  <w:style w:type="paragraph" w:customStyle="1" w:styleId="letter-reference">
    <w:name w:val="letter-reference"/>
    <w:basedOn w:val="Normal"/>
    <w:rsid w:val="00E84930"/>
    <w:pPr>
      <w:spacing w:before="460"/>
    </w:pPr>
  </w:style>
  <w:style w:type="paragraph" w:customStyle="1" w:styleId="letter-salutation">
    <w:name w:val="letter-salutation"/>
    <w:basedOn w:val="Normal"/>
    <w:rsid w:val="00E84930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E84930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E84930"/>
  </w:style>
  <w:style w:type="paragraph" w:customStyle="1" w:styleId="letter-signoff-email">
    <w:name w:val="letter-signoff-email"/>
    <w:basedOn w:val="Normal"/>
    <w:rsid w:val="00E84930"/>
    <w:pPr>
      <w:spacing w:before="0" w:after="180"/>
    </w:pPr>
  </w:style>
  <w:style w:type="paragraph" w:customStyle="1" w:styleId="letter-signoff-job-title">
    <w:name w:val="letter-signoff-job-title"/>
    <w:basedOn w:val="Normal"/>
    <w:rsid w:val="00E84930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E84930"/>
    <w:pPr>
      <w:spacing w:before="1000"/>
    </w:pPr>
  </w:style>
  <w:style w:type="paragraph" w:customStyle="1" w:styleId="letter-subject-line">
    <w:name w:val="letter-subject-line"/>
    <w:basedOn w:val="Normal"/>
    <w:rsid w:val="00E84930"/>
    <w:rPr>
      <w:b/>
    </w:rPr>
  </w:style>
  <w:style w:type="paragraph" w:styleId="NormalIndent">
    <w:name w:val="Normal Indent"/>
    <w:basedOn w:val="Normal"/>
    <w:uiPriority w:val="99"/>
    <w:semiHidden/>
    <w:unhideWhenUsed/>
    <w:rsid w:val="00E84930"/>
    <w:pPr>
      <w:ind w:left="567"/>
    </w:pPr>
  </w:style>
  <w:style w:type="paragraph" w:customStyle="1" w:styleId="Normalnumberedparas">
    <w:name w:val="Normal numbered paras"/>
    <w:basedOn w:val="NormalIndent"/>
    <w:rsid w:val="00E84930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rsid w:val="00E84930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E84930"/>
    <w:pPr>
      <w:numPr>
        <w:numId w:val="6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E84930"/>
    <w:pPr>
      <w:spacing w:before="60" w:after="60"/>
    </w:pPr>
    <w:rPr>
      <w:lang w:eastAsia="en-US"/>
    </w:rPr>
  </w:style>
  <w:style w:type="table" w:styleId="TableGrid">
    <w:name w:val="Table Grid"/>
    <w:basedOn w:val="TableNormal"/>
    <w:uiPriority w:val="59"/>
    <w:rsid w:val="00E8493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676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59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59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5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2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mittees.parliament.uk/publications/41569/documents/204877/default/" TargetMode="External"/><Relationship Id="rId2" Type="http://schemas.openxmlformats.org/officeDocument/2006/relationships/hyperlink" Target="https://committees.parliament.uk/publications/41569/documents/204877/default/" TargetMode="External"/><Relationship Id="rId1" Type="http://schemas.openxmlformats.org/officeDocument/2006/relationships/hyperlink" Target="https://committees.parliament.uk/publications/40324/documents/196957/default/" TargetMode="External"/><Relationship Id="rId5" Type="http://schemas.openxmlformats.org/officeDocument/2006/relationships/hyperlink" Target="https://committees.parliament.uk/publications/42573/documents/211663/default/" TargetMode="External"/><Relationship Id="rId4" Type="http://schemas.openxmlformats.org/officeDocument/2006/relationships/hyperlink" Target="https://committees.parliament.uk/writtenevidence/120560/pd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w\AppData\Roaming\Microsoft\Templates\circular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6C19-8705-4877-AF30-5E901EB4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1</TotalTime>
  <Pages>3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Sue Ferns</dc:creator>
  <cp:keywords/>
  <dc:description/>
  <cp:lastModifiedBy>Neil Walsh</cp:lastModifiedBy>
  <cp:revision>2</cp:revision>
  <cp:lastPrinted>2024-02-16T17:37:00Z</cp:lastPrinted>
  <dcterms:created xsi:type="dcterms:W3CDTF">2024-05-15T17:03:00Z</dcterms:created>
  <dcterms:modified xsi:type="dcterms:W3CDTF">2024-05-15T17:03:00Z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